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Sostanze Chimiche nei Prodotti per Unghie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  <w:tcW w:type="auto"/>
          </w:tcPr>
          <w:p>
            <w:r>
              <w:t>Nome Chimico</w:t>
            </w:r>
          </w:p>
        </w:tc>
        <w:tc>
          <w:tcPr>
            <w:tcW w:type="dxa" w:w="2160"/>
            <w:tcW w:type="auto"/>
          </w:tcPr>
          <w:p>
            <w:r>
              <w:t>Sigla / Nome Comune</w:t>
            </w:r>
          </w:p>
        </w:tc>
        <w:tc>
          <w:tcPr>
            <w:tcW w:type="dxa" w:w="2160"/>
            <w:tcW w:type="auto"/>
          </w:tcPr>
          <w:p>
            <w:r>
              <w:t>Dove si trova</w:t>
            </w:r>
          </w:p>
        </w:tc>
        <w:tc>
          <w:tcPr>
            <w:tcW w:type="dxa" w:w="2160"/>
            <w:tcW w:type="auto"/>
          </w:tcPr>
          <w:p>
            <w:r>
              <w:t>Note / Rischi</w:t>
            </w:r>
          </w:p>
        </w:tc>
      </w:tr>
      <w:tr>
        <w:tc>
          <w:tcPr>
            <w:tcW w:type="dxa" w:w="2160"/>
            <w:tcW w:type="auto"/>
          </w:tcPr>
          <w:p>
            <w:r>
              <w:t>Trimethylbenzoyl Diphenylphosphine Oxide</w:t>
            </w:r>
          </w:p>
        </w:tc>
        <w:tc>
          <w:tcPr>
            <w:tcW w:type="dxa" w:w="2160"/>
            <w:tcW w:type="auto"/>
          </w:tcPr>
          <w:p>
            <w:r>
              <w:t>TPO</w:t>
            </w:r>
          </w:p>
        </w:tc>
        <w:tc>
          <w:tcPr>
            <w:tcW w:type="dxa" w:w="2160"/>
            <w:tcW w:type="auto"/>
          </w:tcPr>
          <w:p>
            <w:r>
              <w:t>Gel UV, semipermanenti, basi e top coat</w:t>
            </w:r>
          </w:p>
        </w:tc>
        <w:tc>
          <w:tcPr>
            <w:tcW w:type="dxa" w:w="2160"/>
            <w:tcW w:type="auto"/>
          </w:tcPr>
          <w:p>
            <w:r>
              <w:t>Fotoiniziatore, può causare allergie</w:t>
            </w:r>
          </w:p>
        </w:tc>
      </w:tr>
      <w:tr>
        <w:tc>
          <w:tcPr>
            <w:tcW w:type="dxa" w:w="2160"/>
            <w:tcW w:type="auto"/>
          </w:tcPr>
          <w:p>
            <w:r>
              <w:t>Dimethyl-p-toluidine</w:t>
            </w:r>
          </w:p>
        </w:tc>
        <w:tc>
          <w:tcPr>
            <w:tcW w:type="dxa" w:w="2160"/>
            <w:tcW w:type="auto"/>
          </w:tcPr>
          <w:p>
            <w:r>
              <w:t>DMTA</w:t>
            </w:r>
          </w:p>
        </w:tc>
        <w:tc>
          <w:tcPr>
            <w:tcW w:type="dxa" w:w="2160"/>
            <w:tcW w:type="auto"/>
          </w:tcPr>
          <w:p>
            <w:r>
              <w:t>Gel UV, semipermanenti</w:t>
            </w:r>
          </w:p>
        </w:tc>
        <w:tc>
          <w:tcPr>
            <w:tcW w:type="dxa" w:w="2160"/>
            <w:tcW w:type="auto"/>
          </w:tcPr>
          <w:p>
            <w:r>
              <w:t>Tossico, sospetto cancerogeno</w:t>
            </w:r>
          </w:p>
        </w:tc>
      </w:tr>
      <w:tr>
        <w:tc>
          <w:tcPr>
            <w:tcW w:type="dxa" w:w="2160"/>
            <w:tcW w:type="auto"/>
          </w:tcPr>
          <w:p>
            <w:r>
              <w:t>Benzophenone-1</w:t>
            </w:r>
          </w:p>
        </w:tc>
        <w:tc>
          <w:tcPr>
            <w:tcW w:type="dxa" w:w="2160"/>
            <w:tcW w:type="auto"/>
          </w:tcPr>
          <w:p>
            <w:r>
              <w:t>BP-1</w:t>
            </w:r>
          </w:p>
        </w:tc>
        <w:tc>
          <w:tcPr>
            <w:tcW w:type="dxa" w:w="2160"/>
            <w:tcW w:type="auto"/>
          </w:tcPr>
          <w:p>
            <w:r>
              <w:t>Alcuni smalti e top coat</w:t>
            </w:r>
          </w:p>
        </w:tc>
        <w:tc>
          <w:tcPr>
            <w:tcW w:type="dxa" w:w="2160"/>
            <w:tcW w:type="auto"/>
          </w:tcPr>
          <w:p>
            <w:r>
              <w:t>Possibile interferente endocrino</w:t>
            </w:r>
          </w:p>
        </w:tc>
      </w:tr>
      <w:tr>
        <w:tc>
          <w:tcPr>
            <w:tcW w:type="dxa" w:w="2160"/>
            <w:tcW w:type="auto"/>
          </w:tcPr>
          <w:p>
            <w:r>
              <w:t>Formaldeide</w:t>
            </w:r>
          </w:p>
        </w:tc>
        <w:tc>
          <w:tcPr>
            <w:tcW w:type="dxa" w:w="2160"/>
            <w:tcW w:type="auto"/>
          </w:tcPr>
          <w:p>
            <w:r>
              <w:t>Formalin, Quaternium-15, TSFR</w:t>
            </w:r>
          </w:p>
        </w:tc>
        <w:tc>
          <w:tcPr>
            <w:tcW w:type="dxa" w:w="2160"/>
            <w:tcW w:type="auto"/>
          </w:tcPr>
          <w:p>
            <w:r>
              <w:t>Indurenti unghie, smalti tradizionali</w:t>
            </w:r>
          </w:p>
        </w:tc>
        <w:tc>
          <w:tcPr>
            <w:tcW w:type="dxa" w:w="2160"/>
            <w:tcW w:type="auto"/>
          </w:tcPr>
          <w:p>
            <w:r>
              <w:t>Cancerogeno, irritante</w:t>
            </w:r>
          </w:p>
        </w:tc>
      </w:tr>
      <w:tr>
        <w:tc>
          <w:tcPr>
            <w:tcW w:type="dxa" w:w="2160"/>
            <w:tcW w:type="auto"/>
          </w:tcPr>
          <w:p>
            <w:r>
              <w:t>Toluenesulfonamide-formaldehyde resin</w:t>
            </w:r>
          </w:p>
        </w:tc>
        <w:tc>
          <w:tcPr>
            <w:tcW w:type="dxa" w:w="2160"/>
            <w:tcW w:type="auto"/>
          </w:tcPr>
          <w:p>
            <w:r>
              <w:t>TSFR</w:t>
            </w:r>
          </w:p>
        </w:tc>
        <w:tc>
          <w:tcPr>
            <w:tcW w:type="dxa" w:w="2160"/>
            <w:tcW w:type="auto"/>
          </w:tcPr>
          <w:p>
            <w:r>
              <w:t>Smalti tradizionali</w:t>
            </w:r>
          </w:p>
        </w:tc>
        <w:tc>
          <w:tcPr>
            <w:tcW w:type="dxa" w:w="2160"/>
            <w:tcW w:type="auto"/>
          </w:tcPr>
          <w:p>
            <w:r>
              <w:t>Rilascia formaldeide</w:t>
            </w:r>
          </w:p>
        </w:tc>
      </w:tr>
      <w:tr>
        <w:tc>
          <w:tcPr>
            <w:tcW w:type="dxa" w:w="2160"/>
            <w:tcW w:type="auto"/>
          </w:tcPr>
          <w:p>
            <w:r>
              <w:t>Methyl Methacrylate</w:t>
            </w:r>
          </w:p>
        </w:tc>
        <w:tc>
          <w:tcPr>
            <w:tcW w:type="dxa" w:w="2160"/>
            <w:tcW w:type="auto"/>
          </w:tcPr>
          <w:p>
            <w:r>
              <w:t>MMA</w:t>
            </w:r>
          </w:p>
        </w:tc>
        <w:tc>
          <w:tcPr>
            <w:tcW w:type="dxa" w:w="2160"/>
            <w:tcW w:type="auto"/>
          </w:tcPr>
          <w:p>
            <w:r>
              <w:t>Monomeri acrilici, prodotti gel</w:t>
            </w:r>
          </w:p>
        </w:tc>
        <w:tc>
          <w:tcPr>
            <w:tcW w:type="dxa" w:w="2160"/>
            <w:tcW w:type="auto"/>
          </w:tcPr>
          <w:p>
            <w:r>
              <w:t>Irritante, allergizzante</w:t>
            </w:r>
          </w:p>
        </w:tc>
      </w:tr>
      <w:tr>
        <w:tc>
          <w:tcPr>
            <w:tcW w:type="dxa" w:w="2160"/>
            <w:tcW w:type="auto"/>
          </w:tcPr>
          <w:p>
            <w:r>
              <w:t>Dibutyl Phthalate</w:t>
            </w:r>
          </w:p>
        </w:tc>
        <w:tc>
          <w:tcPr>
            <w:tcW w:type="dxa" w:w="2160"/>
            <w:tcW w:type="auto"/>
          </w:tcPr>
          <w:p>
            <w:r>
              <w:t>DBP</w:t>
            </w:r>
          </w:p>
        </w:tc>
        <w:tc>
          <w:tcPr>
            <w:tcW w:type="dxa" w:w="2160"/>
            <w:tcW w:type="auto"/>
          </w:tcPr>
          <w:p>
            <w:r>
              <w:t>Smalti e basi</w:t>
            </w:r>
          </w:p>
        </w:tc>
        <w:tc>
          <w:tcPr>
            <w:tcW w:type="dxa" w:w="2160"/>
            <w:tcW w:type="auto"/>
          </w:tcPr>
          <w:p>
            <w:r>
              <w:t>Tossico per la riproduzione</w:t>
            </w:r>
          </w:p>
        </w:tc>
      </w:tr>
      <w:tr>
        <w:tc>
          <w:tcPr>
            <w:tcW w:type="dxa" w:w="2160"/>
            <w:tcW w:type="auto"/>
          </w:tcPr>
          <w:p>
            <w:r>
              <w:t>Canfora</w:t>
            </w:r>
          </w:p>
        </w:tc>
        <w:tc>
          <w:tcPr>
            <w:tcW w:type="dxa" w:w="2160"/>
            <w:tcW w:type="auto"/>
          </w:tcPr>
          <w:p>
            <w:r>
              <w:t>Camphor</w:t>
            </w:r>
          </w:p>
        </w:tc>
        <w:tc>
          <w:tcPr>
            <w:tcW w:type="dxa" w:w="2160"/>
            <w:tcW w:type="auto"/>
          </w:tcPr>
          <w:p>
            <w:r>
              <w:t>Smalti tradizionali</w:t>
            </w:r>
          </w:p>
        </w:tc>
        <w:tc>
          <w:tcPr>
            <w:tcW w:type="dxa" w:w="2160"/>
            <w:tcW w:type="auto"/>
          </w:tcPr>
          <w:p>
            <w:r>
              <w:t>Irritante in alte concentrazioni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